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accidental de suplencia</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suplencia de [NO INGRESADO], titular del puesto [PUESTO DE LA PERSONA TITULAR]. Causa justificada de suspensión o desplazamiento temporal: [NO INGRESADO]. Cuando la suplencia obedezca a un desplazamiento administrativo temporal de la persona titular, este debe producirse dentro del mismo centro de trabajo. Hechos objetivos: [HECHOS OBJETIVOS VERIFICABLES]. Nexo con funciones y duración: [NEXO CON FUNCIONES Y DURACIÓN].</w:t>
      </w:r>
    </w:p>
    <w:p>
      <w:pPr>
        <w:pStyle w:val="Normal"/>
      </w:pPr>
      <w:r>
        <w:rPr>
          <w:rFonts w:ascii="Arial" w:hAnsi="Arial"/>
          <w:lang w:val="es-PE"/>
        </w:rPr>
        <w:t xml:space="preserve">La empresa declara la reserva del puesto y el derecho de readmisión de su titular: [RESERVA DEL PUESTO Y READMISIÓN]. La duración será únicamente la necesaria según las circunstancias y la reincorporación oportuna extingue la suplencia. Fecha o condición de extinción declarada: [FECHA O CONDICIÓN DE REINCORPORACIÓN]. Periodo propuesto: 2026-08-01 a 2026-10-31.</w:t>
      </w:r>
    </w:p>
    <w:p>
      <w:pPr>
        <w:pStyle w:val="Normal"/>
      </w:pPr>
      <w:r>
        <w:rPr>
          <w:rFonts w:ascii="Arial" w:hAnsi="Arial"/>
          <w:lang w:val="es-PE"/>
        </w:rPr>
        <w:t xml:space="preserve">Si se celebran sucesivamente contratos bajo distintas modalidades, el tiempo acumulado no debe superar cinco años. Historial modal sujeto a revisión humana: [NO INGRESADO]. El borrador no verifica contratos previos ni permite concluir cumplimiento.</w:t>
      </w:r>
    </w:p>
    <w:p>
      <w:pPr>
        <w:pStyle w:val="Normal"/>
      </w:pPr>
      <w:r>
        <w:rPr>
          <w:rFonts w:ascii="Arial" w:hAnsi="Arial"/>
          <w:lang w:val="es-PE"/>
        </w:rPr>
        <w:t xml:space="preserve">El contrato modal debe constar por escrito y por triplicado, expresando duración, causa objetiva y demás condiciones.</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de trabajo de suplencia</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para sustituir temporalmente a una persona trabajadora estable.</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0966-contrato-de-trabajo-sujeto-a-modalidad-de-suplencia"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accidental de suplencia</dc:title>
  <dc:language>es-PE</dc:language>
  <dc:creator>SueldoJusto.pe</dc:creator>
  <dc:description>Definición: substitution-employment-contract-v1; versión 1.0.0; jurisdicción PE; reemplaza ninguna. | Generador: template-generator/1.2.0.</dc:description>
</cp:coreProperties>
</file>